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412" w:rsidRDefault="00335412" w:rsidP="00335412">
      <w:pPr>
        <w:pStyle w:val="Titolo1"/>
      </w:pPr>
      <w:bookmarkStart w:id="0" w:name="_Hlk201660069"/>
      <w:r>
        <w:t>SCHEDA PROGETTO</w:t>
      </w:r>
    </w:p>
    <w:p w:rsidR="00335412" w:rsidRDefault="00335412" w:rsidP="00335412">
      <w:pPr>
        <w:pStyle w:val="Titolo1"/>
      </w:pPr>
      <w:r>
        <w:t xml:space="preserve">Ricerca </w:t>
      </w:r>
      <w:r>
        <w:rPr>
          <w:i/>
          <w:iCs/>
        </w:rPr>
        <w:t>Il nuovo pubblico del patrimonio e i nuovi mediatori</w:t>
      </w:r>
      <w:bookmarkEnd w:id="0"/>
    </w:p>
    <w:p w:rsidR="00335412" w:rsidRDefault="00335412" w:rsidP="00335412">
      <w:pPr>
        <w:jc w:val="both"/>
      </w:pPr>
    </w:p>
    <w:p w:rsidR="00335412" w:rsidRDefault="00335412" w:rsidP="00335412">
      <w:pPr>
        <w:pStyle w:val="Titolo2"/>
      </w:pPr>
      <w:r>
        <w:t>Premessa</w:t>
      </w:r>
    </w:p>
    <w:p w:rsidR="00335412" w:rsidRDefault="00335412" w:rsidP="00335412">
      <w:pPr>
        <w:jc w:val="both"/>
      </w:pPr>
      <w:r>
        <w:t xml:space="preserve">L’analisi dei pubblici che fruiscono di contenuti culturali digitali è una questione ricorrente ma spesso non analizzata in tutte le sue implicazioni. </w:t>
      </w:r>
    </w:p>
    <w:p w:rsidR="00335412" w:rsidRDefault="00335412" w:rsidP="00335412">
      <w:pPr>
        <w:jc w:val="both"/>
      </w:pPr>
      <w:r>
        <w:t xml:space="preserve">Le consultazioni e Il dialogo avviati intorno al Piano Nazionale di Digitalizzazione del patrimonio culturale hanno avuto per interlocutori privilegiati nicchie specializzate di operatori – esperti del patrimonio, progettisti, intellettuali, ricercatori, tecnici, spesso al contempo creatori e fruitori di patrimonio culturale digitale -, ma raramente si sono spinti oltre. D’altro canto durante la fase di disseminazione territoriale del PND è emersa spesso la necessità di comprendere meglio il mondo di chi usufruisce di contenuti culturali digitali la cui domanda appare ancora relativamente modesta rispetto alla qualità dell’offerta immaginata dal Piano e dall’ecosistema che si sta costruendo, indice di una persistente difficoltà a compiere un salto che è culturale prima che tecnologico. </w:t>
      </w:r>
    </w:p>
    <w:p w:rsidR="00335412" w:rsidRDefault="00335412" w:rsidP="00335412">
      <w:pPr>
        <w:jc w:val="both"/>
      </w:pPr>
      <w:r>
        <w:t xml:space="preserve">Ne emerge forte la necessità di conoscere più approfonditamente chi fruisce di patrimonio culturale digitale e come, con una particolare attenzione verso quelle figure non istituzionali di mediatori di contenuti culturali in una prospettiva di divulgazione qualificata e di elaborazione artistica - creatori di contenuti social, guide turistiche, </w:t>
      </w:r>
      <w:r>
        <w:rPr>
          <w:i/>
          <w:iCs/>
        </w:rPr>
        <w:t>art-</w:t>
      </w:r>
      <w:proofErr w:type="spellStart"/>
      <w:r>
        <w:rPr>
          <w:i/>
          <w:iCs/>
        </w:rPr>
        <w:t>sharer</w:t>
      </w:r>
      <w:proofErr w:type="spellEnd"/>
      <w:r>
        <w:t xml:space="preserve">, artisti digitali, … - e delle comunità di utenti che essi a loro volta raggiungono. </w:t>
      </w:r>
    </w:p>
    <w:p w:rsidR="00335412" w:rsidRDefault="00335412" w:rsidP="00335412">
      <w:pPr>
        <w:pStyle w:val="Titolo2"/>
      </w:pPr>
      <w:r>
        <w:t>Obiettivo</w:t>
      </w:r>
    </w:p>
    <w:p w:rsidR="00335412" w:rsidRDefault="00335412" w:rsidP="00335412">
      <w:pPr>
        <w:jc w:val="both"/>
      </w:pPr>
      <w:r>
        <w:t>L’obiettivo della ricerca è un’analisi dal basso della realtà esistente, la più completa possibile, nella prospettiva di lanciare poi una proposta di azione volta a migliorare/profilare la qualità dei contenuti culturali digitali prodotti da istituzioni e la loro diffusione, comunicazione e mediazione.</w:t>
      </w:r>
    </w:p>
    <w:p w:rsidR="00335412" w:rsidRDefault="00335412" w:rsidP="00335412">
      <w:pPr>
        <w:jc w:val="both"/>
      </w:pPr>
      <w:r>
        <w:t>L’analisi dovrebbe prendere in considerazione sia chi svolge queste attività a livello professionale, o almeno ci prova, sia chi crea contenuti e opere o fa divulgazione a livello amatoriale. Lo scopo è comprendere come selezionano i contenuti, se utilizzano risorse digitali prodotte dalle istituzioni culturali, a quali pubblici si riferiscono, qual è il linguaggio che utilizzano, valutare quali siano i punti di contatto e di sviluppo con le istituzioni del patrimonio e di come queste ultime possano beneficiare dei contenuti culturali.</w:t>
      </w:r>
    </w:p>
    <w:p w:rsidR="00335412" w:rsidRDefault="00335412" w:rsidP="00335412">
      <w:pPr>
        <w:jc w:val="both"/>
      </w:pPr>
      <w:r>
        <w:t>Sarebbe opportuno che la ricerca possa definire campioni da analizzare relativamente omogenei, circoscritti o circoscrivibili, per evitare le consuete restituzioni impressionistiche o troppo intermediate dalla soggettività; dovrebbe inoltre partire da una mappatura delle esperienze esistenti (eventualmente circoscritte all’area di Lucca o della</w:t>
      </w:r>
      <w:r>
        <w:t xml:space="preserve"> Toscana</w:t>
      </w:r>
      <w:r>
        <w:t>) finalizzata all’individuazione delle domande di ricerca, comprendere l’estensione, profondità e rilevanza del fenomeno per poi co</w:t>
      </w:r>
      <w:r>
        <w:t>ncludersi nella primavera 2026</w:t>
      </w:r>
      <w:bookmarkStart w:id="1" w:name="_GoBack"/>
      <w:bookmarkEnd w:id="1"/>
      <w:r>
        <w:t xml:space="preserve"> elaborando una riflessione critica del fenomeno che possa guidare le istituzioni culturali nell’interazione con le comunità di utenti non istituzionali.</w:t>
      </w:r>
    </w:p>
    <w:p w:rsidR="00335412" w:rsidRDefault="00335412" w:rsidP="00335412">
      <w:pPr>
        <w:pStyle w:val="Titolo2"/>
      </w:pPr>
      <w:r>
        <w:t>Attività</w:t>
      </w:r>
    </w:p>
    <w:p w:rsidR="00335412" w:rsidRDefault="00335412" w:rsidP="00335412">
      <w:pPr>
        <w:jc w:val="both"/>
      </w:pPr>
      <w:r>
        <w:rPr>
          <w:b/>
          <w:bCs/>
        </w:rPr>
        <w:t>Fase I. Ricerca desk (novembre</w:t>
      </w:r>
      <w:r>
        <w:rPr>
          <w:b/>
          <w:bCs/>
        </w:rPr>
        <w:t xml:space="preserve"> 2025):</w:t>
      </w:r>
      <w:r>
        <w:t xml:space="preserve"> il soggetto incaricato della ricerca lavorerà a una mappatura delle esperienze esistenti, eventualmente circoscritti a una scala locale (area Toscana), finalizzata all’individuazione delle domande di ricerca in un’ottica critica e di rilevamento delle opportunità.</w:t>
      </w:r>
    </w:p>
    <w:p w:rsidR="00335412" w:rsidRDefault="00335412" w:rsidP="00335412">
      <w:pPr>
        <w:jc w:val="both"/>
      </w:pPr>
      <w:r>
        <w:rPr>
          <w:b/>
          <w:bCs/>
        </w:rPr>
        <w:t>Fase II</w:t>
      </w:r>
      <w:r>
        <w:rPr>
          <w:b/>
          <w:bCs/>
        </w:rPr>
        <w:t>. Laboratorio con la R</w:t>
      </w:r>
      <w:r>
        <w:rPr>
          <w:b/>
          <w:bCs/>
        </w:rPr>
        <w:t>ete delle Regioni (novembre/dicembre</w:t>
      </w:r>
      <w:r>
        <w:rPr>
          <w:b/>
          <w:bCs/>
        </w:rPr>
        <w:t>):</w:t>
      </w:r>
      <w:r>
        <w:t xml:space="preserve"> presentazione dei dati preliminari </w:t>
      </w:r>
      <w:r>
        <w:rPr>
          <w:rStyle w:val="Enfasigrassetto"/>
        </w:rPr>
        <w:t>raccolti</w:t>
      </w:r>
      <w:r>
        <w:t xml:space="preserve"> </w:t>
      </w:r>
      <w:r>
        <w:t>dal ricercatore in occasione di laboratori organizzati dalla Scuola</w:t>
      </w:r>
      <w:r>
        <w:t xml:space="preserve">, </w:t>
      </w:r>
      <w:r>
        <w:t xml:space="preserve">anche in connessione </w:t>
      </w:r>
      <w:r>
        <w:t xml:space="preserve">con la rete delle Regioni. Lo scopo è di analizzare insieme ai referenti delle Regioni, impegnati a vario titolo in attività di </w:t>
      </w:r>
      <w:r>
        <w:lastRenderedPageBreak/>
        <w:t>digitalizzazione del patrimonio culturale, quanto emerso dalla ricerca desk e raccogliere spunti per affinare le piste di ricerca.</w:t>
      </w:r>
    </w:p>
    <w:p w:rsidR="00335412" w:rsidRDefault="00335412" w:rsidP="00335412">
      <w:pPr>
        <w:jc w:val="both"/>
      </w:pPr>
      <w:r>
        <w:rPr>
          <w:b/>
          <w:bCs/>
        </w:rPr>
        <w:t>Fase III (</w:t>
      </w:r>
      <w:r>
        <w:rPr>
          <w:b/>
          <w:bCs/>
        </w:rPr>
        <w:t>gennaio</w:t>
      </w:r>
      <w:r>
        <w:rPr>
          <w:b/>
          <w:bCs/>
        </w:rPr>
        <w:t>-aprile</w:t>
      </w:r>
      <w:r>
        <w:rPr>
          <w:b/>
          <w:bCs/>
        </w:rPr>
        <w:t xml:space="preserve"> 2026): </w:t>
      </w:r>
      <w:r>
        <w:t>affinamento</w:t>
      </w:r>
      <w:r>
        <w:rPr>
          <w:b/>
          <w:bCs/>
        </w:rPr>
        <w:t xml:space="preserve"> </w:t>
      </w:r>
      <w:r>
        <w:t>e completamento della ricerca.</w:t>
      </w:r>
    </w:p>
    <w:p w:rsidR="00F47A05" w:rsidRDefault="00F47A05"/>
    <w:sectPr w:rsidR="00F47A0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412"/>
    <w:rsid w:val="00335412"/>
    <w:rsid w:val="00F4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4ECEF"/>
  <w15:chartTrackingRefBased/>
  <w15:docId w15:val="{F0C22162-E740-469A-BCDC-4770D093D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35412"/>
    <w:pPr>
      <w:spacing w:line="25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3354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354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3541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3541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35412"/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35412"/>
    <w:rPr>
      <w:rFonts w:eastAsiaTheme="minorEastAsia"/>
      <w:color w:val="5A5A5A" w:themeColor="text1" w:themeTint="A5"/>
      <w:spacing w:val="15"/>
    </w:rPr>
  </w:style>
  <w:style w:type="character" w:styleId="Enfasigrassetto">
    <w:name w:val="Strong"/>
    <w:basedOn w:val="Carpredefinitoparagrafo"/>
    <w:uiPriority w:val="22"/>
    <w:qFormat/>
    <w:rsid w:val="003354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02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2025-09-21T08:40:00Z</dcterms:created>
  <dcterms:modified xsi:type="dcterms:W3CDTF">2025-09-21T08:47:00Z</dcterms:modified>
</cp:coreProperties>
</file>